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194624" w:rsidP="00574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743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5743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194624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30425D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30425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438F" w:rsidRPr="0057438F" w:rsidRDefault="0057438F" w:rsidP="0057438F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8F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энергетики».</w:t>
            </w:r>
          </w:p>
          <w:p w:rsidR="002C1DFA" w:rsidRPr="0030425D" w:rsidRDefault="0057438F" w:rsidP="0057438F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8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национальной безопасности и укрепление государственной границы».</w:t>
            </w:r>
          </w:p>
        </w:tc>
      </w:tr>
      <w:tr w:rsidR="00577B7F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577B7F" w:rsidRPr="0030425D" w:rsidRDefault="00577B7F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7B7F" w:rsidRPr="00577B7F" w:rsidRDefault="00577B7F" w:rsidP="00577B7F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3"/>
            <w:bookmarkStart w:id="1" w:name="_Toc477362430"/>
            <w:bookmarkStart w:id="2" w:name="_Toc477431835"/>
            <w:bookmarkStart w:id="3" w:name="_Toc477434851"/>
            <w:bookmarkStart w:id="4" w:name="_Toc477447725"/>
            <w:bookmarkStart w:id="5" w:name="_Toc477819691"/>
            <w:bookmarkStart w:id="6" w:name="_Toc477865770"/>
            <w:bookmarkStart w:id="7" w:name="_Toc477886298"/>
            <w:bookmarkStart w:id="8" w:name="_Toc477953331"/>
            <w:bookmarkStart w:id="9" w:name="_Toc478032878"/>
            <w:bookmarkStart w:id="10" w:name="_Toc478038750"/>
            <w:bookmarkStart w:id="11" w:name="_Toc478047235"/>
            <w:bookmarkStart w:id="12" w:name="_Toc478120095"/>
            <w:bookmarkStart w:id="13" w:name="_Toc478120689"/>
            <w:bookmarkStart w:id="14" w:name="_Toc478124765"/>
            <w:bookmarkStart w:id="15" w:name="_Toc478125707"/>
            <w:bookmarkStart w:id="16" w:name="_Toc478417210"/>
            <w:bookmarkStart w:id="17" w:name="_Toc478906952"/>
            <w:bookmarkStart w:id="18" w:name="_Toc20922987"/>
            <w:bookmarkStart w:id="19" w:name="_Toc24532138"/>
            <w:r w:rsidRPr="003042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безопасности электротехнических и тепловых установок и сетей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577B7F" w:rsidRPr="00156545" w:rsidRDefault="00577B7F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666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666504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BE347A">
        <w:trPr>
          <w:trHeight w:val="983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BE347A" w:rsidRDefault="0057438F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«Государственное и муниципальное управление», «Юриспруденция», «Менеджмент», «Экология и природопользование», «Электр</w:t>
            </w:r>
            <w:proofErr w:type="gramStart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теплоэнергетика», «Теплоэнергетика  и теплотехника», «Электроэнергетика и электротехника», «Энергетическое машиностроение», «Электрификация и автоматизация сельского хозяйства»,  «Техносферная безопасность и природообустройство», «Техника и технологии строительства», «Электроэнергетика и электротехника», «Природообустройство и водопользование», «Градостроительство», «Строительство», «Горное дело»,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или иное направление подготовки (специальность),  </w:t>
            </w:r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технологий: 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236DFA" w:rsidRDefault="00236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236DFA" w:rsidRDefault="00236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технологий: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236DFA" w:rsidRDefault="00236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36DFA" w:rsidRDefault="00236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энергосбережении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1997 г. № 117-ФЗ «О безопасности гидротехнических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 июля 2016 г. № 255-ФЗ «О внесении изменений в Федеральный закон «О безопасности гидротехнических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09 марта 2016 г. № 56-ФЗ «О внесении изменений в Федеральный закон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 декабря 2004 г. № 190-ФЗ «Градостроительный кодекс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 июня 2006 г. № 74-ФЗ «Водный кодекс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декабря 2002 г. № 184-ФЗ «О техническом регулировании»;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01 декабря 2007 г. № 315-ФЗ  «О саморегулируемых организациях»;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 «О безопасности объектов топливно-энергетического комплекса»;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31 июля 2020 г. № 247-ФЗ «Об обязательных требованиях в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18 ноября 2013 г. №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25 декабря 2013 г. № 1244 «Об антитеррористической защищенности объектов (территорий)»;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 апреля 2016 г.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 января 2021 г. № 86 «Об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порядка вывода объектов электроэнергетики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ремонт и из эксплуатации»;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17 октября 2015 г. № 1114 «О расследовании причин аварийных ситуаций при теплоснабжении и о признании утратившими силу отдельных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положений Правил расследования причин аварий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электроэнергетике»;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17 мая 2002 г. № 317 «Об утверждении Правил пользования газом и предоставления услуг по газоснабжению в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марта 2015 г. № 294 «О внесении изменений в Правила пользования газом и предоставления услуг по газоснабжению в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6 сентября 2012 г. № 889 «О выводе в ремонт и из эксплуатации источников тепловой энергии и тепловых сетей»;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января 2021 г. № 85 «Об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июня 2021 г. № 1085 «О Федеральном государственном энергетическом надзоре»;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июня 2021 г. № 1080 «О Федеральном государственном надзоре в области безопасности гидротехнических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05 октября 2020 г. № 1607 «Критерии классификации гидротехнических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2020 г. № 1893 «Об утверждении Правил формирования и ведения Российского регистра гидротехнических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2020 г. № 1892 «О декларировании безопасности гидротехнических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5 октября 2020 г. 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 октября 2020 г. № 1596 «Об утверждении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 определения величины финансового обеспечения гражданской ответственности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вред, причиненный в результате аварии гидротехнического сооружения»;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10 апреля 2007 г. № 219 «Об утверждении Положения об осуществлении государственного мониторинга водных объектов»;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28 апреля 2007 г. № 253 «О порядке ведения государственного водного реестра»;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21 мая 2007 г. № 304 «О классификации чрезвычайных ситуаций природного и техногенного характера»;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22 апреля 2009 г. № 349 «Об 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05мая 2012 г. № 458 «Об утверждении Правил по обеспечению безопасности и антитеррористической защищенности объектов топливно-энергетического комплекса»;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 октября 2020 г. № 1589 «Об утверждении Правил консервации и ликвидации гидротехнического сооружения»;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потребителей, утвержденные приказом Минэнерго России от 13 января 2003 г. № 6 (зарегистрирован Минюстом России 22 января 2003 г. рег. № 4145);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утвержденные приказом Минэнерго России от 24 марта 2003 г. № 115 (зарегистрирован Минюстом России 2 апреля 2003 г. № 4358);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Федерации, утвержденные приказом Минэнерго России от 19 июня 2003 г. № 229 (зарегистрирован Минюстом России 20 июня 2003 г. № 4799);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оценки готовности к отопительному периоду, утвержденные приказом Минэнерго России от 12 марта 2013 г. № 103 (зарегистрирован Минюстом России 24 апреля 2013 г. №  28269);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6,7);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Минэнерго России от 22 сентября 2020 г. № 796 (зарегистрирован Минюстом России 18.01.2021, рег. № 62115);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02 марта 2010 г. № 90 (зарегистрирован Минюстом России 22.04.2010, рег. № 16973) «Об утверждении формы акта о расследовании причин аварий в электроэнергетике и порядка ее заполнения»;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02 марта 2010 г. № 91 (зарегистрирован Минюстом России 30.06.2010, рег. № 17656) «Об утверждении Порядка передачи оперативной информации об авариях в электроэнергетике»;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2 марта 2010 г. № 92 (зарегистрирован Минюстом России 17.05.2010, рег. № 17225) «Об утверждении формы отчета об авариях в электроэнергетике и порядка ее заполнения»;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16 декабря 2002 г. № 448 (зарегистрирован Минюстом России 04.02.2003, рег. № 4181) «Об утверждении нормативных актов, необходимых для реализации Правил пользования газом и предоставления услуг по газоснабжению в Российской Федерации»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25 апреля 2016 г. № 157 (зарегистрирован Минюстом России 04.07.2016, рег. № 42746) «Об утверждении формы и порядка оформления акта о расследовании причин аварийной ситуации при теплоснабжении»;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25 апреля 2016 г. № 158 (зарегистрирован Минюстом России 04.07.2016, рег. № 42747) «Об утверждении формы и порядка оформления отчета об аварийных ситуациях при теплоснабжении»;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01 июля 2014 г. № 285 (зарегистрирован Минюстом России 14.08.2014, рег. № 33588) «Об утверждении Порядка установки предупреждающих знаков для обозначения границ охранных зон объектов по производству электрической энергии»;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7 января 2013 г. № 9 (зарегистрирован Минюстом России 09.07.2013, рег. № 29031)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09 декабря 2020 г. № 509 (зарегистрирован Минюстом России 24.12.2020, рег. № 61794) «Об утверждении формы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14 декабря 2020 г. № 522 (зарегистрирован Минюстом России 21.12.2020, рег. № 61614) «Об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14 декабря 2020 г. № 523 (зарегистрирован Минюстом России 28.12.2020, рег. № 61868) «Об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462 (зарегистрирован Минюстом России 14.12.2020, рег. № 61460) «Об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10 декабря 2020 г. № 516 (зарегистрирован Минюстом России 24.12.2020, рег. № 61785)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07 декабря 2020 г. № 499 (зарегистрирован Минюстом России 28.12.2020, рег. № 61879)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Минсельхоза России от 31 июля 2020 г. № 438 (зарегистрирован Минюстом России 30.09.2020 № 60169) «Об утверждении Правил эксплуатации мелиоративных систем и отдельно расположенных гидротехнических сооружений»;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463 (зарегистрирован Минюстом России 14.12.2020, рег. № 61461) «Об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26 ноября 2020 г. № 464 (зарегистрирован Минюстом России 18.12.2020 № 61568)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465 (зарегистрирован Минюстом России 18.12.2020 № 61591)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04 декабря 2020 г. № 496 (зарегистрирован Минюстом России 24.12.2020 № 61793)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04 декабря 2020 г. № 497 (зарегистрирован Минюстом России 18.12.2020 № 61552) «Об утверждении формы акта регулярного обследования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07 декабря 2020 г. № 501 (зарегистрирован Минюстом России 18.12.2020 № 61602) «Об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28 октября 2016 г. № 445 «О внесении изменений в приказ Федеральной службы по экологическому, технологическому и атомному надзору от 14 апреля 2016 г. № 148 «Об утверждении формы «Последовательность действий должностных лиц Ростехнадзора при проведении выездных плановых и внеплановых проверок»;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 июня 2013 г. № 290 (зарегистрирован Минюстом России 09.08.2013, рег. №29348);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электроустановок, утвержденные приказом Минтруда России от 15 декабря 2020 г. № 903н (зарегистрирован Минюстом России 30.12.2020, рег. № 61957);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объектов теплоснабжения и теплопотребляющих установок, утвержденные приказом Минтруда России от 17 декабря 2020 г. № 924н (зарегистрирован Минюстом России 29.12.2020, рег. № 61926);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переключений в электроустановках, утвержденные приказом Минэнерго России от 13 сентября 2018 г. № 757 (зарегистрирован Минюстом России 22.11.2018, рег. № 52754);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электроустановках, утверждена приказом Минэнерго России от 30 июня 2003 г. №261;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устройству 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зданий, сооружений и промышленных коммуникаций", утверждена приказом Минэнерго России от 30 июня 2003 г. № 280;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техники безопасности при эксплуатации тепломеханического оборудования электростанций и тепловых сетей (РД 34.03.201-97), утвержденные Минтопэнерго России от 03.04.1997;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Минэкономразвития России от 14 октября 2020 г. № 678 (зарегистрирован Минюстом России 16.11.2020, рег. № 60928)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 58.13330.2012. Свод правил. Гидротехнические сооружения. Основные положения. Актуализированная редакция СНиП 33-01-2003», утвержден приказом 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29.12.2011 г. № 623;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Федерального горного и промышленного надзора России от 04.11.2000 г. № 65 «Об утверждении "Методики расчета зон затопления при гидродинамических авариях на хранилищах производственных отходов химических предприятий»;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Федерального горного и промышленного надзора России от 06.11.1999 г. № 1 2Методические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комплекса»;</w:t>
            </w:r>
          </w:p>
          <w:p w:rsidR="00236DFA" w:rsidRPr="00236DFA" w:rsidRDefault="00236DFA" w:rsidP="00236DFA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Минстроя России от 6 ноября 2020 г. № 672/</w:t>
            </w:r>
            <w:proofErr w:type="spellStart"/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(зарегистрирован Минюстом России 01.12.2020, рег. № 61178)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строительства».</w:t>
            </w:r>
          </w:p>
          <w:p w:rsidR="00236DFA" w:rsidRDefault="00236DFA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сетей, гидротехнических сооружений;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эксплуатацию энергоустановок;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сетей, гидротехнических сооружений; анализ нормативных правовых актов и подготовки соответствующих предложений по их совершенствованию;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контрольно-надзорной деятельности;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использования данных комплексной системы информатизации Ростехнадзора (КСИ Ростехнадзора), автоматизированной информационной системы Ростехнадзора (АИС Ростехнадзора).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использования данных ФГИС «Единый реестр проверок», «Единый реестр контрольно-надзорных мероприятий».</w:t>
            </w:r>
          </w:p>
          <w:p w:rsidR="00236DFA" w:rsidRDefault="00236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Понятие, цели, элементы </w:t>
            </w:r>
            <w:proofErr w:type="gramStart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общегосударственная система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</w:t>
            </w:r>
            <w:proofErr w:type="gramEnd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в электроэнергетике. Функции системного оператора;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Общее представление об устройстве гидроэлектростанций и </w:t>
            </w:r>
            <w:proofErr w:type="spellStart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гтс</w:t>
            </w:r>
            <w:proofErr w:type="spellEnd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Назначение, состав оборудования, общие вопросы эксплуатации;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Категории гидротехнических сооружений;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безопасной эксплуатации гидротехнических сооружений различных категорий;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236DFA" w:rsidRDefault="00236DFA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F7DDD" w:rsidRPr="005361B2" w:rsidRDefault="00DF7DDD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разрешений, заключений, по результатам предоставления государственной услуги.</w:t>
            </w:r>
          </w:p>
          <w:p w:rsidR="00236DFA" w:rsidRPr="00236DFA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1DFA" w:rsidRPr="005361B2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принципами, методами, технологий и механизмами осуществления контроля (надзора);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20B00" w:rsidRPr="00317AF1" w:rsidRDefault="00F20B00" w:rsidP="004F3BB3">
            <w:pPr>
              <w:tabs>
                <w:tab w:val="left" w:pos="99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должностные обязанности в соответствии с должностным регламентом;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 законом от 31 июля 2020 г. № 248-ФЗ «О государственном контроле (надзоре) и муниципальном контроле (надзоре) в Российской Федерации», осуществлять консультирование;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обоснованность своих действий при их обжаловании в порядке, установленном законодательством Российской Федерации;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4F3BB3" w:rsidRPr="00E16DFF" w:rsidRDefault="004F3BB3" w:rsidP="00252CA0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служебный распорядок территориального органа Ростехнадзора;</w:t>
            </w:r>
          </w:p>
          <w:p w:rsidR="004F3BB3" w:rsidRPr="00E16DFF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E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4F3BB3" w:rsidRPr="00E16DFF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E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2C1DFA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государственных служащих» (далее – Указ Президента № 885).</w:t>
            </w:r>
          </w:p>
          <w:p w:rsid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областью и видом профессиональной служебной деятельности: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объективно, всесторонне и своевременно рассматривать устные или письменные обращения граждан и юридических лиц в соответствии с компетенцией отдела;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ведении государственного реестра саморегулируемых организаций в области энергетического обследования.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B3" w:rsidRPr="004F3BB3" w:rsidRDefault="00E16DFF" w:rsidP="00E16DFF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служащий, замещающий должность государственного инспектора, обязан осуществлять государственный контроль (надзор) </w:t>
            </w:r>
            <w:proofErr w:type="gramStart"/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</w:t>
            </w:r>
            <w:proofErr w:type="gramStart"/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</w:t>
            </w:r>
            <w:proofErr w:type="gramEnd"/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соблюдением в пределах своей компетенции требований безопасности гидротехнических сооружений; 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требований технических регламентов в установленной сфере деятельности;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подготовкой процедуры аттестации оперативно-диспетчерского персонала и документов по её результатам;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проведением проверки знаний;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подготовкой энергоснабжающих предприятий и предприятий жилищно-коммунального комплекса к работе в осенне-зимний период (по решению правительства РФ);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деятельностью саморегулируемых организаций в области энергетического обследования.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A41F24" w:rsidRDefault="002C1DFA" w:rsidP="00E16DFF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</w:t>
            </w:r>
            <w:r w:rsidR="00E16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смотренные статьей 14 и другими </w:t>
            </w: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оплату труда  и другие выплаты в соответствии с Федеральным законом     № 79-ФЗ, иными нормативными правовыми актами Российской Федерации и со служебным контрактом;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защиту сведений о гражданском служащем;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должностной рост на конкурсной основе;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профессиональное развитие в порядке, установленном Федеральным законом № 79-ФЗ и другими федеральными законами;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членство в профессиональном союзе;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рассмотрение индивидуальных служебных споров в соответствии с Федеральным законом № 79-ФЗ и другими Федеральными законами;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проведение по его заявлению служебной проверки;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беспрепятственно по предъявлении служебного удостоверения и копии приказа (распоряжения) органа государственного надзора о проведении проверки посещать территории, здания, помещения, сооружения;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привлекать в установленном законодательством Российской Федерации порядке экспертов, экспертные организации к проведению мероприятий по контролю;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обращаться в соответствии с Федеральным законом от 7 февраля 2011 года   № 3-ФЗ «О полиции» за содействием к органам полиции в случаях, если инспектору оказывается противодействие или угрожает опасность.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защиту своих прав и законных интересов на гражданской службе, включая обжалования в суд их нарушения;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медицинское страхование в соответствии с Федеральным законом № 79-ФЗ;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государственную защиту своих жизни и здоровья,  жизни и здоровья членов своей семьи, а также принадлежащего ему имущества;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государственное пенсионное обеспечение в соответствии с Федеральным законом от 15 декабря 2001 г. №166-ФЗ «О государственном пенсионном обеспечении в Российской Федерации»;  </w:t>
            </w:r>
          </w:p>
          <w:p w:rsidR="002C1DFA" w:rsidRPr="001E1753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  <w:tab w:val="left" w:pos="567"/>
              </w:tabs>
              <w:ind w:left="0" w:firstLine="36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16DFF">
              <w:rPr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A41F24" w:rsidRDefault="002C1DFA" w:rsidP="00703F0A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неисполнение или ненадлежащее исполнение возложенных на него обязанностей;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разглашение сведений, ставших ему известными в связи с исполнением должностных обязанностей;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действие или бездействие, ведущее к нарушению прав и законных интересов граждан, организаций;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причинение материального, имущественного ущерба;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несоблюдение обязанностей, запретов и ограничений, установленных законодательством о государственной службе и противодействию коррупции; </w:t>
            </w:r>
          </w:p>
          <w:p w:rsidR="002C1DFA" w:rsidRPr="00A41F24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нарушение положений настоящего должностного регламента.</w:t>
            </w:r>
          </w:p>
        </w:tc>
      </w:tr>
      <w:tr w:rsidR="002C1DFA" w:rsidRPr="00941E74" w:rsidTr="00E16DFF">
        <w:trPr>
          <w:trHeight w:val="2967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929B8" w:rsidRDefault="002C1DFA" w:rsidP="00703F0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E16DFF" w:rsidRPr="00E16DFF" w:rsidRDefault="002C1DFA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E16DFF"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государственного инспектора оценивается по следующим показателям: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количеству возвратов на доработку ранее подготовленных документов;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количеству повторных обращений по рассматриваемым вопросам;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наличию у гражданского служащего поощрений за безупречную и эффективную службу;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</w:t>
            </w:r>
            <w:proofErr w:type="gramStart"/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 гр</w:t>
            </w:r>
            <w:proofErr w:type="gramEnd"/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способности четко </w:t>
            </w:r>
            <w:proofErr w:type="gramStart"/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планировать</w:t>
            </w:r>
            <w:proofErr w:type="gramEnd"/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 порученных заданий, умению рационально использовать рабочее время, расставлять приоритеты;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жалоб граждан и юридических лиц на действия (бездействие) гражданского служащего;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70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30425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703F0A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="00E16DFF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2C1DFA"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</w:t>
            </w:r>
            <w:r w:rsidR="00E16DFF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8534EB"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304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884A6D" w:rsidRDefault="002C1DFA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B11657" w:rsidRDefault="002C1DFA" w:rsidP="0070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03F0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703F0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 Лариса Александро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вна,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7B21F5" w:rsidRPr="00F17DF6" w:rsidRDefault="007B21F5" w:rsidP="00F1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F17DF6"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</w:t>
            </w:r>
            <w:r w:rsidR="00E16DFF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  <w:p w:rsidR="002C1DFA" w:rsidRPr="00F17DF6" w:rsidRDefault="007B21F5" w:rsidP="00E16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E16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DF6"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DF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bookmarkStart w:id="20" w:name="_GoBack"/>
            <w:bookmarkEnd w:id="20"/>
            <w:r w:rsidR="00F17DF6"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 (о </w:t>
            </w:r>
            <w:r w:rsidRPr="00F1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</w:t>
            </w:r>
            <w:r w:rsidR="003C5FC7" w:rsidRPr="00F1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DA" w:rsidRDefault="005C6DDA" w:rsidP="000F68E5">
      <w:pPr>
        <w:spacing w:after="0" w:line="240" w:lineRule="auto"/>
      </w:pPr>
      <w:r>
        <w:separator/>
      </w:r>
    </w:p>
  </w:endnote>
  <w:endnote w:type="continuationSeparator" w:id="0">
    <w:p w:rsidR="005C6DDA" w:rsidRDefault="005C6DDA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DA" w:rsidRDefault="005C6DDA" w:rsidP="000F68E5">
      <w:pPr>
        <w:spacing w:after="0" w:line="240" w:lineRule="auto"/>
      </w:pPr>
      <w:r>
        <w:separator/>
      </w:r>
    </w:p>
  </w:footnote>
  <w:footnote w:type="continuationSeparator" w:id="0">
    <w:p w:rsidR="005C6DDA" w:rsidRDefault="005C6DDA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DF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4624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38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36DFA"/>
    <w:rsid w:val="00240676"/>
    <w:rsid w:val="002420C8"/>
    <w:rsid w:val="0025177F"/>
    <w:rsid w:val="002519AE"/>
    <w:rsid w:val="00252CA0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25D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B71C9"/>
    <w:rsid w:val="003C51AD"/>
    <w:rsid w:val="003C5925"/>
    <w:rsid w:val="003C5FC7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3BB3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0F85"/>
    <w:rsid w:val="00564F1D"/>
    <w:rsid w:val="00566C63"/>
    <w:rsid w:val="0057438F"/>
    <w:rsid w:val="00577B7F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C6DDA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66504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D51F9"/>
    <w:rsid w:val="006E1E89"/>
    <w:rsid w:val="006E27B9"/>
    <w:rsid w:val="006E633C"/>
    <w:rsid w:val="006E6825"/>
    <w:rsid w:val="006E7ECA"/>
    <w:rsid w:val="00703F0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54D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231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347A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322D"/>
    <w:rsid w:val="00DE6E65"/>
    <w:rsid w:val="00DF5C86"/>
    <w:rsid w:val="00DF7DDD"/>
    <w:rsid w:val="00E01B38"/>
    <w:rsid w:val="00E10743"/>
    <w:rsid w:val="00E11B8D"/>
    <w:rsid w:val="00E132E6"/>
    <w:rsid w:val="00E136BA"/>
    <w:rsid w:val="00E16DFF"/>
    <w:rsid w:val="00E17D28"/>
    <w:rsid w:val="00E254A8"/>
    <w:rsid w:val="00E275ED"/>
    <w:rsid w:val="00E52A8A"/>
    <w:rsid w:val="00E53D07"/>
    <w:rsid w:val="00E57707"/>
    <w:rsid w:val="00E6239E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17DF6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979D5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64EC-6BD0-4B7A-BCCD-1D574810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8594</Words>
  <Characters>48990</Characters>
  <Application>Microsoft Office Word</Application>
  <DocSecurity>0</DocSecurity>
  <Lines>408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57470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4</cp:revision>
  <cp:lastPrinted>2019-09-16T08:16:00Z</cp:lastPrinted>
  <dcterms:created xsi:type="dcterms:W3CDTF">2021-09-13T09:28:00Z</dcterms:created>
  <dcterms:modified xsi:type="dcterms:W3CDTF">2021-09-13T10:30:00Z</dcterms:modified>
</cp:coreProperties>
</file>